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2244640</wp:posOffset>
            </wp:positionH>
            <wp:positionV relativeFrom="page">
              <wp:posOffset>207581</wp:posOffset>
            </wp:positionV>
            <wp:extent cx="3058256" cy="1764274"/>
            <wp:effectExtent l="0" t="0" r="0" b="0"/>
            <wp:wrapNone/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256" cy="17642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Patient Details:</w:t>
      </w:r>
    </w:p>
    <w:p>
      <w:pPr>
        <w:pStyle w:val="Body A"/>
        <w:rPr>
          <w:b w:val="1"/>
          <w:bCs w:val="1"/>
          <w:u w:val="single"/>
          <w:lang w:val="en-US"/>
        </w:rPr>
      </w:pPr>
    </w:p>
    <w:tbl>
      <w:tblPr>
        <w:tblW w:w="9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758"/>
        <w:gridCol w:w="3057"/>
        <w:gridCol w:w="1605"/>
        <w:gridCol w:w="1605"/>
        <w:gridCol w:w="1605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Forename (s)</w:t>
            </w:r>
          </w:p>
        </w:tc>
        <w:tc>
          <w:tcPr>
            <w:tcW w:type="dxa" w:w="466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Gender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</w:rPr>
              <w:t>Surname</w:t>
            </w:r>
          </w:p>
        </w:tc>
        <w:tc>
          <w:tcPr>
            <w:tcW w:type="dxa" w:w="466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DOB: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75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787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75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</w:tcPr>
          <w:p/>
        </w:tc>
        <w:tc>
          <w:tcPr>
            <w:tcW w:type="dxa" w:w="30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Postcode</w:t>
            </w:r>
          </w:p>
        </w:tc>
        <w:tc>
          <w:tcPr>
            <w:tcW w:type="dxa" w:w="321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Home Tel:</w:t>
            </w:r>
          </w:p>
        </w:tc>
        <w:tc>
          <w:tcPr>
            <w:tcW w:type="dxa" w:w="30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</w:rPr>
              <w:t>Mobile Tel:</w:t>
            </w:r>
          </w:p>
        </w:tc>
        <w:tc>
          <w:tcPr>
            <w:tcW w:type="dxa" w:w="321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Referrer Details:</w:t>
      </w:r>
    </w:p>
    <w:p>
      <w:pPr>
        <w:pStyle w:val="Body A"/>
        <w:rPr>
          <w:b w:val="1"/>
          <w:bCs w:val="1"/>
          <w:u w:val="single"/>
          <w:lang w:val="en-US"/>
        </w:rPr>
      </w:pPr>
    </w:p>
    <w:tbl>
      <w:tblPr>
        <w:tblW w:w="9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777"/>
        <w:gridCol w:w="4001"/>
        <w:gridCol w:w="1926"/>
        <w:gridCol w:w="1926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Name</w:t>
            </w:r>
          </w:p>
        </w:tc>
        <w:tc>
          <w:tcPr>
            <w:tcW w:type="dxa" w:w="7853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777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7853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777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</w:tcPr>
          <w:p/>
        </w:tc>
        <w:tc>
          <w:tcPr>
            <w:tcW w:type="dxa" w:w="4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Postcode: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4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Profession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Clinical Details:</w:t>
      </w:r>
    </w:p>
    <w:tbl>
      <w:tblPr>
        <w:tblW w:w="9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0"/>
      </w:tblGrid>
      <w:tr>
        <w:tblPrEx>
          <w:shd w:val="clear" w:color="auto" w:fill="cadfff"/>
        </w:tblPrEx>
        <w:trPr>
          <w:trHeight w:val="214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Clinical History:</w:t>
            </w:r>
          </w:p>
        </w:tc>
      </w:tr>
    </w:tbl>
    <w:p>
      <w:pPr>
        <w:pStyle w:val="Body A"/>
        <w:rPr>
          <w:b w:val="1"/>
          <w:bCs w:val="1"/>
          <w:u w:val="single"/>
        </w:rPr>
      </w:pPr>
    </w:p>
    <w:tbl>
      <w:tblPr>
        <w:tblW w:w="9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75"/>
        <w:gridCol w:w="7755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Medical Hx:</w:t>
            </w:r>
          </w:p>
        </w:tc>
        <w:tc>
          <w:tcPr>
            <w:tcW w:type="dxa" w:w="7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Previous imaging</w:t>
            </w:r>
          </w:p>
        </w:tc>
        <w:tc>
          <w:tcPr>
            <w:tcW w:type="dxa" w:w="7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875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it-IT"/>
              </w:rPr>
              <w:t>Clinical Questions</w:t>
            </w:r>
          </w:p>
        </w:tc>
        <w:tc>
          <w:tcPr>
            <w:tcW w:type="dxa" w:w="7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87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</w:tcPr>
          <w:p/>
        </w:tc>
        <w:tc>
          <w:tcPr>
            <w:tcW w:type="dxa" w:w="7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Working Dx</w:t>
            </w:r>
          </w:p>
        </w:tc>
        <w:tc>
          <w:tcPr>
            <w:tcW w:type="dxa" w:w="7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it-IT"/>
              </w:rPr>
              <w:t>Region Requested</w:t>
            </w:r>
          </w:p>
        </w:tc>
        <w:tc>
          <w:tcPr>
            <w:tcW w:type="dxa" w:w="7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rPr>
          <w:b w:val="1"/>
          <w:bCs w:val="1"/>
          <w:u w:val="single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Clinician Signature:________________________________________</w:t>
        <w:tab/>
        <w:tab/>
        <w:t>Date:_________________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Indications for imaging:</w:t>
      </w:r>
      <w:r>
        <w:rPr>
          <w:b w:val="1"/>
          <w:bCs w:val="1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-128069</wp:posOffset>
                </wp:positionH>
                <wp:positionV relativeFrom="line">
                  <wp:posOffset>203196</wp:posOffset>
                </wp:positionV>
                <wp:extent cx="6376197" cy="1431221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197" cy="14312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0.1pt;margin-top:16.0pt;width:502.1pt;height:112.7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 A"/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SHOULDER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Rotator cuff tear, tendinopathy, or calcification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Subacromial pain syndrome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Long Head Biceps Tendinopathy/Subluxation/Rupture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Shoulder Joint Effusion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Bursa Assessment</w:t>
      </w:r>
      <w:r>
        <w:rPr>
          <w:sz w:val="24"/>
          <w:szCs w:val="24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-128069</wp:posOffset>
                </wp:positionH>
                <wp:positionV relativeFrom="line">
                  <wp:posOffset>286334</wp:posOffset>
                </wp:positionV>
                <wp:extent cx="6376195" cy="1708615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195" cy="17086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10.1pt;margin-top:22.5pt;width:502.1pt;height:134.5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ELBOW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Common extensor origin tendinopathy/rupture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Common flexor origin tendinopathy/rupture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Distal biceps tendon rupture/tendinopathy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Olecronon bursitis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Ulnar nerve entrapment/subluxation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Ulnar and Radial collateral ligament assessment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Joint Effusion</w:t>
      </w:r>
      <w:r>
        <w:rPr>
          <w:sz w:val="24"/>
          <w:szCs w:val="24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-128069</wp:posOffset>
                </wp:positionH>
                <wp:positionV relativeFrom="line">
                  <wp:posOffset>282989</wp:posOffset>
                </wp:positionV>
                <wp:extent cx="6376197" cy="176414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197" cy="17641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10.1pt;margin-top:22.3pt;width:502.1pt;height:138.9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WRIST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Assessment of the Extensor compartment of the wrist (including De Quervain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disease, intersection syndrome and ECU tenosynovitis)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Carpal Tunnel and Median Nerve Assessment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Ganglia Evaulation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Inflammatory Arthropathy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Finger Pulley and Tendon assessments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Evaluation of Foreign Bodies</w:t>
      </w:r>
      <w:r>
        <w:rPr>
          <w:sz w:val="24"/>
          <w:szCs w:val="24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-128069</wp:posOffset>
                </wp:positionH>
                <wp:positionV relativeFrom="line">
                  <wp:posOffset>299609</wp:posOffset>
                </wp:positionV>
                <wp:extent cx="6376197" cy="1527684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197" cy="15276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10.1pt;margin-top:23.6pt;width:502.1pt;height:120.3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FOOT AND ANKLE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Achilles Tendon Assessment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Plantar Fasciopathy/Fasciitis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Morton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Neuroma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Below Knee Musculature and Tendon Assessment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Assessment of Medial, Lateral and Anterior Ankle Ligaments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Tarsal Joint Evaluation</w:t>
      </w:r>
      <w:r>
        <w:rPr>
          <w:sz w:val="24"/>
          <w:szCs w:val="24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-129938</wp:posOffset>
                </wp:positionH>
                <wp:positionV relativeFrom="line">
                  <wp:posOffset>288051</wp:posOffset>
                </wp:positionV>
                <wp:extent cx="6376198" cy="1421719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198" cy="14217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10.2pt;margin-top:22.7pt;width:502.1pt;height:111.9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KNEE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Femoral Musculature and Tendon Assessment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Quadriceps and Patellar Tendon Assessment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Knee joint effusion or loose bodies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Bursal Evaluation/Bakers Cyst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Assessment of Medial and Collateral Ligaments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